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17C75" w14:textId="4BB12957" w:rsidR="004A6AA3" w:rsidRPr="003E465F" w:rsidRDefault="006D31A8" w:rsidP="00FF429B">
      <w:pPr>
        <w:spacing w:after="0" w:line="240" w:lineRule="auto"/>
        <w:rPr>
          <w:rFonts w:ascii="Arial" w:hAnsi="Arial" w:cs="Arial"/>
          <w:b/>
          <w:bCs/>
          <w:sz w:val="21"/>
          <w:szCs w:val="21"/>
        </w:rPr>
      </w:pPr>
      <w:r w:rsidRPr="003E465F">
        <w:rPr>
          <w:rFonts w:ascii="Arial" w:hAnsi="Arial" w:cs="Arial"/>
          <w:b/>
          <w:bCs/>
          <w:sz w:val="21"/>
          <w:szCs w:val="21"/>
        </w:rPr>
        <w:t>Specific Aims</w:t>
      </w:r>
    </w:p>
    <w:p w14:paraId="668BCD8A" w14:textId="77777777" w:rsidR="00FF429B" w:rsidRPr="003E465F" w:rsidRDefault="00FF429B" w:rsidP="00FF429B">
      <w:pPr>
        <w:spacing w:after="0" w:line="240" w:lineRule="auto"/>
        <w:rPr>
          <w:rFonts w:ascii="Arial" w:hAnsi="Arial" w:cs="Arial"/>
          <w:b/>
          <w:bCs/>
          <w:sz w:val="21"/>
          <w:szCs w:val="21"/>
        </w:rPr>
      </w:pPr>
    </w:p>
    <w:p w14:paraId="51944256" w14:textId="4CAF3DE5" w:rsidR="00660486" w:rsidRPr="003E465F" w:rsidRDefault="006D31A8" w:rsidP="00FF429B">
      <w:pPr>
        <w:spacing w:after="0" w:line="240" w:lineRule="auto"/>
        <w:rPr>
          <w:rFonts w:ascii="Arial" w:hAnsi="Arial" w:cs="Arial"/>
          <w:iCs/>
          <w:sz w:val="21"/>
          <w:szCs w:val="21"/>
          <w:vertAlign w:val="superscript"/>
        </w:rPr>
      </w:pPr>
      <w:r w:rsidRPr="003E465F">
        <w:rPr>
          <w:rFonts w:ascii="Arial" w:hAnsi="Arial" w:cs="Arial"/>
          <w:sz w:val="21"/>
          <w:szCs w:val="21"/>
        </w:rPr>
        <w:t xml:space="preserve">Stargardt disease </w:t>
      </w:r>
      <w:r w:rsidR="00A03A8E" w:rsidRPr="003E465F">
        <w:rPr>
          <w:rFonts w:ascii="Arial" w:hAnsi="Arial" w:cs="Arial"/>
          <w:sz w:val="21"/>
          <w:szCs w:val="21"/>
        </w:rPr>
        <w:t xml:space="preserve">leads to symptoms of colorblindness and </w:t>
      </w:r>
      <w:r w:rsidR="0016481A" w:rsidRPr="003E465F">
        <w:rPr>
          <w:rFonts w:ascii="Arial" w:hAnsi="Arial" w:cs="Arial"/>
          <w:sz w:val="21"/>
          <w:szCs w:val="21"/>
        </w:rPr>
        <w:t xml:space="preserve">gradual </w:t>
      </w:r>
      <w:r w:rsidR="00A03A8E" w:rsidRPr="003E465F">
        <w:rPr>
          <w:rFonts w:ascii="Arial" w:hAnsi="Arial" w:cs="Arial"/>
          <w:sz w:val="21"/>
          <w:szCs w:val="21"/>
        </w:rPr>
        <w:t xml:space="preserve">vision </w:t>
      </w:r>
      <w:r w:rsidR="0016481A" w:rsidRPr="003E465F">
        <w:rPr>
          <w:rFonts w:ascii="Arial" w:hAnsi="Arial" w:cs="Arial"/>
          <w:sz w:val="21"/>
          <w:szCs w:val="21"/>
        </w:rPr>
        <w:t>impairment</w:t>
      </w:r>
      <w:r w:rsidR="00A03A8E" w:rsidRPr="003E465F">
        <w:rPr>
          <w:rFonts w:ascii="Arial" w:hAnsi="Arial" w:cs="Arial"/>
          <w:sz w:val="21"/>
          <w:szCs w:val="21"/>
        </w:rPr>
        <w:t xml:space="preserve"> leading to total </w:t>
      </w:r>
      <w:r w:rsidR="0016481A" w:rsidRPr="003E465F">
        <w:rPr>
          <w:rFonts w:ascii="Arial" w:hAnsi="Arial" w:cs="Arial"/>
          <w:sz w:val="21"/>
          <w:szCs w:val="21"/>
        </w:rPr>
        <w:t>vison loss</w:t>
      </w:r>
      <w:r w:rsidR="00A03A8E" w:rsidRPr="003E465F">
        <w:rPr>
          <w:rFonts w:ascii="Arial" w:hAnsi="Arial" w:cs="Arial"/>
          <w:sz w:val="21"/>
          <w:szCs w:val="21"/>
        </w:rPr>
        <w:t>, and effects an estimated one million people</w:t>
      </w:r>
      <w:r w:rsidR="0016481A" w:rsidRPr="003E465F">
        <w:rPr>
          <w:rFonts w:ascii="Arial" w:hAnsi="Arial" w:cs="Arial"/>
          <w:sz w:val="21"/>
          <w:szCs w:val="21"/>
        </w:rPr>
        <w:t>. Mutations to the ABCA4 gene contribute to a vast majority of cases of Stargardt disease</w:t>
      </w:r>
      <w:r w:rsidR="00752CA6" w:rsidRPr="003E465F">
        <w:rPr>
          <w:rFonts w:ascii="Arial" w:hAnsi="Arial" w:cs="Arial"/>
          <w:sz w:val="21"/>
          <w:szCs w:val="21"/>
        </w:rPr>
        <w:t>, and about 5% of all retin</w:t>
      </w:r>
      <w:r w:rsidR="00055D1A" w:rsidRPr="003E465F">
        <w:rPr>
          <w:rFonts w:ascii="Arial" w:hAnsi="Arial" w:cs="Arial"/>
          <w:sz w:val="21"/>
          <w:szCs w:val="21"/>
        </w:rPr>
        <w:t>opathies</w:t>
      </w:r>
      <w:r w:rsidR="00752CA6" w:rsidRPr="003E465F">
        <w:rPr>
          <w:rFonts w:ascii="Arial" w:hAnsi="Arial" w:cs="Arial"/>
          <w:sz w:val="21"/>
          <w:szCs w:val="21"/>
        </w:rPr>
        <w:t>.</w:t>
      </w:r>
      <w:r w:rsidR="00752CA6" w:rsidRPr="003E465F">
        <w:rPr>
          <w:rFonts w:ascii="Arial" w:hAnsi="Arial" w:cs="Arial"/>
          <w:sz w:val="21"/>
          <w:szCs w:val="21"/>
          <w:vertAlign w:val="superscript"/>
        </w:rPr>
        <w:t>1</w:t>
      </w:r>
      <w:r w:rsidR="00752CA6" w:rsidRPr="003E465F">
        <w:rPr>
          <w:rFonts w:ascii="Arial" w:hAnsi="Arial" w:cs="Arial"/>
          <w:sz w:val="21"/>
          <w:szCs w:val="21"/>
        </w:rPr>
        <w:t xml:space="preserve"> </w:t>
      </w:r>
      <w:r w:rsidR="00CD11A2" w:rsidRPr="003E465F">
        <w:rPr>
          <w:rFonts w:ascii="Arial" w:hAnsi="Arial" w:cs="Arial"/>
          <w:sz w:val="21"/>
          <w:szCs w:val="21"/>
        </w:rPr>
        <w:t xml:space="preserve">The ABCA4 gene codes for a membrane transport protein that operates in rod and cone photoreceptor cells in the eye, transporting </w:t>
      </w:r>
      <w:r w:rsidR="003E465F" w:rsidRPr="003E465F">
        <w:rPr>
          <w:rFonts w:ascii="Arial" w:hAnsi="Arial" w:cs="Arial"/>
          <w:sz w:val="21"/>
          <w:szCs w:val="21"/>
        </w:rPr>
        <w:t>chemicals</w:t>
      </w:r>
      <w:r w:rsidR="00CD11A2" w:rsidRPr="003E465F">
        <w:rPr>
          <w:rFonts w:ascii="Arial" w:hAnsi="Arial" w:cs="Arial"/>
          <w:sz w:val="21"/>
          <w:szCs w:val="21"/>
        </w:rPr>
        <w:t xml:space="preserve"> from the lumen to the outer disc membranes.</w:t>
      </w:r>
      <w:r w:rsidR="00CD11A2" w:rsidRPr="003E465F">
        <w:rPr>
          <w:rFonts w:ascii="Arial" w:hAnsi="Arial" w:cs="Arial"/>
          <w:sz w:val="21"/>
          <w:szCs w:val="21"/>
          <w:vertAlign w:val="superscript"/>
        </w:rPr>
        <w:t>2</w:t>
      </w:r>
      <w:r w:rsidR="00CD11A2" w:rsidRPr="003E465F">
        <w:rPr>
          <w:rFonts w:ascii="Arial" w:hAnsi="Arial" w:cs="Arial"/>
          <w:sz w:val="21"/>
          <w:szCs w:val="21"/>
        </w:rPr>
        <w:t xml:space="preserve"> This prevents the accumulation of toxic retinoid compounds that are likely the cause for </w:t>
      </w:r>
      <w:r w:rsidR="00050A2B" w:rsidRPr="003E465F">
        <w:rPr>
          <w:rFonts w:ascii="Arial" w:hAnsi="Arial" w:cs="Arial"/>
          <w:sz w:val="21"/>
          <w:szCs w:val="21"/>
        </w:rPr>
        <w:t>the retinal degeneration seen in Stargardt disease.</w:t>
      </w:r>
      <w:r w:rsidR="00776AC4" w:rsidRPr="003E465F">
        <w:rPr>
          <w:rFonts w:ascii="Arial" w:hAnsi="Arial" w:cs="Arial"/>
          <w:sz w:val="21"/>
          <w:szCs w:val="21"/>
        </w:rPr>
        <w:t xml:space="preserve"> </w:t>
      </w:r>
      <w:r w:rsidR="00493376" w:rsidRPr="003E465F">
        <w:rPr>
          <w:rFonts w:ascii="Arial" w:hAnsi="Arial" w:cs="Arial"/>
          <w:i/>
          <w:iCs/>
          <w:sz w:val="21"/>
          <w:szCs w:val="21"/>
        </w:rPr>
        <w:t xml:space="preserve">There </w:t>
      </w:r>
      <w:proofErr w:type="gramStart"/>
      <w:r w:rsidR="00493376" w:rsidRPr="003E465F">
        <w:rPr>
          <w:rFonts w:ascii="Arial" w:hAnsi="Arial" w:cs="Arial"/>
          <w:i/>
          <w:iCs/>
          <w:sz w:val="21"/>
          <w:szCs w:val="21"/>
        </w:rPr>
        <w:t>remains</w:t>
      </w:r>
      <w:proofErr w:type="gramEnd"/>
      <w:r w:rsidR="00493376" w:rsidRPr="003E465F">
        <w:rPr>
          <w:rFonts w:ascii="Arial" w:hAnsi="Arial" w:cs="Arial"/>
          <w:i/>
          <w:iCs/>
          <w:sz w:val="21"/>
          <w:szCs w:val="21"/>
        </w:rPr>
        <w:t xml:space="preserve"> </w:t>
      </w:r>
      <w:r w:rsidR="00573485" w:rsidRPr="003E465F">
        <w:rPr>
          <w:rFonts w:ascii="Arial" w:hAnsi="Arial" w:cs="Arial"/>
          <w:i/>
          <w:iCs/>
          <w:sz w:val="21"/>
          <w:szCs w:val="21"/>
        </w:rPr>
        <w:t xml:space="preserve">many </w:t>
      </w:r>
      <w:r w:rsidR="00493376" w:rsidRPr="003E465F">
        <w:rPr>
          <w:rFonts w:ascii="Arial" w:hAnsi="Arial" w:cs="Arial"/>
          <w:i/>
          <w:iCs/>
          <w:sz w:val="21"/>
          <w:szCs w:val="21"/>
        </w:rPr>
        <w:t>factors of ABCA4 that are unclear</w:t>
      </w:r>
      <w:r w:rsidR="00325A83" w:rsidRPr="003E465F">
        <w:rPr>
          <w:rFonts w:ascii="Arial" w:hAnsi="Arial" w:cs="Arial"/>
          <w:i/>
          <w:iCs/>
          <w:sz w:val="21"/>
          <w:szCs w:val="21"/>
        </w:rPr>
        <w:t xml:space="preserve">, especially </w:t>
      </w:r>
      <w:r w:rsidR="00400360" w:rsidRPr="003E465F">
        <w:rPr>
          <w:rFonts w:ascii="Arial" w:hAnsi="Arial" w:cs="Arial"/>
          <w:i/>
          <w:iCs/>
          <w:sz w:val="21"/>
          <w:szCs w:val="21"/>
        </w:rPr>
        <w:t>its role in overall retinol metabolism</w:t>
      </w:r>
      <w:r w:rsidR="00325A83" w:rsidRPr="003E465F">
        <w:rPr>
          <w:rFonts w:ascii="Arial" w:hAnsi="Arial" w:cs="Arial"/>
          <w:i/>
          <w:iCs/>
          <w:sz w:val="21"/>
          <w:szCs w:val="21"/>
        </w:rPr>
        <w:t xml:space="preserve">. </w:t>
      </w:r>
      <w:r w:rsidR="009D6704" w:rsidRPr="003E465F">
        <w:rPr>
          <w:rFonts w:ascii="Arial" w:hAnsi="Arial" w:cs="Arial"/>
          <w:i/>
          <w:iCs/>
          <w:sz w:val="21"/>
          <w:szCs w:val="21"/>
        </w:rPr>
        <w:t>Some studies explored some interactions involved in the process, but many regulatory interactions have not been investigated.</w:t>
      </w:r>
      <w:r w:rsidR="009D6704" w:rsidRPr="003E465F">
        <w:rPr>
          <w:rFonts w:ascii="Arial" w:hAnsi="Arial" w:cs="Arial"/>
          <w:iCs/>
          <w:sz w:val="21"/>
          <w:szCs w:val="21"/>
          <w:vertAlign w:val="superscript"/>
        </w:rPr>
        <w:t>4,7</w:t>
      </w:r>
    </w:p>
    <w:p w14:paraId="723739CC" w14:textId="77777777" w:rsidR="00FF429B" w:rsidRPr="003E465F" w:rsidRDefault="00FF429B" w:rsidP="00FF429B">
      <w:pPr>
        <w:spacing w:after="0" w:line="240" w:lineRule="auto"/>
        <w:rPr>
          <w:rFonts w:ascii="Arial" w:hAnsi="Arial" w:cs="Arial"/>
          <w:sz w:val="21"/>
          <w:szCs w:val="21"/>
        </w:rPr>
      </w:pPr>
    </w:p>
    <w:p w14:paraId="3A09D80B" w14:textId="61B35D8B" w:rsidR="00573485" w:rsidRPr="003E465F" w:rsidRDefault="00252A37" w:rsidP="00FF429B">
      <w:pPr>
        <w:spacing w:after="0" w:line="240" w:lineRule="auto"/>
        <w:rPr>
          <w:rFonts w:ascii="Arial" w:hAnsi="Arial" w:cs="Arial"/>
          <w:sz w:val="21"/>
          <w:szCs w:val="21"/>
        </w:rPr>
      </w:pPr>
      <w:r w:rsidRPr="003E465F">
        <w:rPr>
          <w:rFonts w:ascii="Arial" w:hAnsi="Arial" w:cs="Arial"/>
          <w:sz w:val="21"/>
          <w:szCs w:val="21"/>
        </w:rPr>
        <w:t>The</w:t>
      </w:r>
      <w:r w:rsidRPr="003E465F">
        <w:rPr>
          <w:rFonts w:ascii="Arial" w:hAnsi="Arial" w:cs="Arial"/>
          <w:b/>
          <w:bCs/>
          <w:sz w:val="21"/>
          <w:szCs w:val="21"/>
        </w:rPr>
        <w:t xml:space="preserve"> objective </w:t>
      </w:r>
      <w:r w:rsidRPr="003E465F">
        <w:rPr>
          <w:rFonts w:ascii="Arial" w:hAnsi="Arial" w:cs="Arial"/>
          <w:sz w:val="21"/>
          <w:szCs w:val="21"/>
        </w:rPr>
        <w:t xml:space="preserve">of this proposal is to determine the </w:t>
      </w:r>
      <w:r w:rsidR="00400360" w:rsidRPr="003E465F">
        <w:rPr>
          <w:rFonts w:ascii="Arial" w:hAnsi="Arial" w:cs="Arial"/>
          <w:sz w:val="21"/>
          <w:szCs w:val="21"/>
        </w:rPr>
        <w:t>role of</w:t>
      </w:r>
      <w:r w:rsidRPr="003E465F">
        <w:rPr>
          <w:rFonts w:ascii="Arial" w:hAnsi="Arial" w:cs="Arial"/>
          <w:sz w:val="21"/>
          <w:szCs w:val="21"/>
        </w:rPr>
        <w:t xml:space="preserve"> ABCA4 </w:t>
      </w:r>
      <w:r w:rsidR="00400360" w:rsidRPr="003E465F">
        <w:rPr>
          <w:rFonts w:ascii="Arial" w:hAnsi="Arial" w:cs="Arial"/>
          <w:sz w:val="21"/>
          <w:szCs w:val="21"/>
        </w:rPr>
        <w:t>in overall retinol metabolism</w:t>
      </w:r>
      <w:r w:rsidR="00CB0EF7" w:rsidRPr="003E465F">
        <w:rPr>
          <w:rFonts w:ascii="Arial" w:hAnsi="Arial" w:cs="Arial"/>
          <w:sz w:val="21"/>
          <w:szCs w:val="21"/>
        </w:rPr>
        <w:t xml:space="preserve">. The results from this study could then be </w:t>
      </w:r>
      <w:r w:rsidR="004117CA" w:rsidRPr="003E465F">
        <w:rPr>
          <w:rFonts w:ascii="Arial" w:hAnsi="Arial" w:cs="Arial"/>
          <w:sz w:val="21"/>
          <w:szCs w:val="21"/>
        </w:rPr>
        <w:t xml:space="preserve">used </w:t>
      </w:r>
      <w:r w:rsidR="005D2649" w:rsidRPr="003E465F">
        <w:rPr>
          <w:rFonts w:ascii="Arial" w:hAnsi="Arial" w:cs="Arial"/>
          <w:sz w:val="21"/>
          <w:szCs w:val="21"/>
        </w:rPr>
        <w:t>to further understand the mechanisms that lead to chemical buildup in Stargardt disease</w:t>
      </w:r>
      <w:r w:rsidR="00CB0EF7" w:rsidRPr="003E465F">
        <w:rPr>
          <w:rFonts w:ascii="Arial" w:hAnsi="Arial" w:cs="Arial"/>
          <w:sz w:val="21"/>
          <w:szCs w:val="21"/>
        </w:rPr>
        <w:t xml:space="preserve">. This will be performed through tests of the </w:t>
      </w:r>
      <w:r w:rsidR="00CB0EF7" w:rsidRPr="003E465F">
        <w:rPr>
          <w:rFonts w:ascii="Arial" w:hAnsi="Arial" w:cs="Arial"/>
          <w:b/>
          <w:bCs/>
          <w:sz w:val="21"/>
          <w:szCs w:val="21"/>
        </w:rPr>
        <w:t>hypothesis</w:t>
      </w:r>
      <w:r w:rsidR="00CB0EF7" w:rsidRPr="003E465F">
        <w:rPr>
          <w:rFonts w:ascii="Arial" w:hAnsi="Arial" w:cs="Arial"/>
          <w:sz w:val="21"/>
          <w:szCs w:val="21"/>
        </w:rPr>
        <w:t xml:space="preserve"> </w:t>
      </w:r>
      <w:r w:rsidR="005D2649" w:rsidRPr="003E465F">
        <w:rPr>
          <w:rFonts w:ascii="Arial" w:hAnsi="Arial" w:cs="Arial"/>
          <w:sz w:val="21"/>
          <w:szCs w:val="21"/>
        </w:rPr>
        <w:t>ABCA4 affects overall retinol regulation and metabolism</w:t>
      </w:r>
      <w:r w:rsidR="00DC3ABB" w:rsidRPr="003E465F">
        <w:rPr>
          <w:rFonts w:ascii="Arial" w:hAnsi="Arial" w:cs="Arial"/>
          <w:sz w:val="21"/>
          <w:szCs w:val="21"/>
        </w:rPr>
        <w:t xml:space="preserve">. </w:t>
      </w:r>
      <w:r w:rsidR="00055D1A" w:rsidRPr="003E465F">
        <w:rPr>
          <w:rFonts w:ascii="Arial" w:hAnsi="Arial" w:cs="Arial"/>
          <w:sz w:val="21"/>
          <w:szCs w:val="21"/>
        </w:rPr>
        <w:t xml:space="preserve">The hypothesis was determined through the </w:t>
      </w:r>
      <w:r w:rsidR="004117CA" w:rsidRPr="003E465F">
        <w:rPr>
          <w:rFonts w:ascii="Arial" w:hAnsi="Arial" w:cs="Arial"/>
          <w:sz w:val="21"/>
          <w:szCs w:val="21"/>
        </w:rPr>
        <w:t>protein interactions involved with ABCA4, with many interactions and pathways that have been observed as coexpressing in other species</w:t>
      </w:r>
      <w:r w:rsidR="00DC61D3" w:rsidRPr="003E465F">
        <w:rPr>
          <w:rFonts w:ascii="Arial" w:hAnsi="Arial" w:cs="Arial"/>
          <w:sz w:val="21"/>
          <w:szCs w:val="21"/>
        </w:rPr>
        <w:t>.</w:t>
      </w:r>
      <w:r w:rsidR="00DC61D3" w:rsidRPr="003E465F">
        <w:rPr>
          <w:rFonts w:ascii="Arial" w:hAnsi="Arial" w:cs="Arial"/>
          <w:sz w:val="21"/>
          <w:szCs w:val="21"/>
          <w:vertAlign w:val="superscript"/>
        </w:rPr>
        <w:t>4,5</w:t>
      </w:r>
      <w:r w:rsidR="00055D1A" w:rsidRPr="003E465F">
        <w:rPr>
          <w:rFonts w:ascii="Arial" w:hAnsi="Arial" w:cs="Arial"/>
          <w:sz w:val="21"/>
          <w:szCs w:val="21"/>
        </w:rPr>
        <w:t xml:space="preserve"> </w:t>
      </w:r>
      <w:r w:rsidR="00DC3ABB" w:rsidRPr="003E465F">
        <w:rPr>
          <w:rFonts w:ascii="Arial" w:hAnsi="Arial" w:cs="Arial"/>
          <w:sz w:val="21"/>
          <w:szCs w:val="21"/>
        </w:rPr>
        <w:t xml:space="preserve">This is working towards the </w:t>
      </w:r>
      <w:r w:rsidR="00DC3ABB" w:rsidRPr="003E465F">
        <w:rPr>
          <w:rFonts w:ascii="Arial" w:hAnsi="Arial" w:cs="Arial"/>
          <w:b/>
          <w:bCs/>
          <w:sz w:val="21"/>
          <w:szCs w:val="21"/>
        </w:rPr>
        <w:t xml:space="preserve">long-term goal </w:t>
      </w:r>
      <w:r w:rsidR="00DC3ABB" w:rsidRPr="003E465F">
        <w:rPr>
          <w:rFonts w:ascii="Arial" w:hAnsi="Arial" w:cs="Arial"/>
          <w:sz w:val="21"/>
          <w:szCs w:val="21"/>
        </w:rPr>
        <w:t xml:space="preserve">of </w:t>
      </w:r>
      <w:r w:rsidR="004117CA" w:rsidRPr="003E465F">
        <w:rPr>
          <w:rFonts w:ascii="Arial" w:hAnsi="Arial" w:cs="Arial"/>
          <w:sz w:val="21"/>
          <w:szCs w:val="21"/>
        </w:rPr>
        <w:t>understanding retinol metabolism and its pathways</w:t>
      </w:r>
      <w:r w:rsidR="00DC3ABB" w:rsidRPr="003E465F">
        <w:rPr>
          <w:rFonts w:ascii="Arial" w:hAnsi="Arial" w:cs="Arial"/>
          <w:sz w:val="21"/>
          <w:szCs w:val="21"/>
        </w:rPr>
        <w:t xml:space="preserve">. </w:t>
      </w:r>
      <w:r w:rsidR="00DC61D3" w:rsidRPr="003E465F">
        <w:rPr>
          <w:rFonts w:ascii="Arial" w:hAnsi="Arial" w:cs="Arial"/>
          <w:i/>
          <w:iCs/>
          <w:sz w:val="21"/>
          <w:szCs w:val="21"/>
        </w:rPr>
        <w:t>Danio rerio</w:t>
      </w:r>
      <w:r w:rsidR="00DC61D3" w:rsidRPr="003E465F">
        <w:rPr>
          <w:rFonts w:ascii="Arial" w:hAnsi="Arial" w:cs="Arial"/>
          <w:sz w:val="21"/>
          <w:szCs w:val="21"/>
        </w:rPr>
        <w:t xml:space="preserve"> is the intended model species for this proposal, due to its </w:t>
      </w:r>
      <w:proofErr w:type="gramStart"/>
      <w:r w:rsidR="00DC61D3" w:rsidRPr="003E465F">
        <w:rPr>
          <w:rFonts w:ascii="Arial" w:hAnsi="Arial" w:cs="Arial"/>
          <w:sz w:val="21"/>
          <w:szCs w:val="21"/>
        </w:rPr>
        <w:t>fast retinal</w:t>
      </w:r>
      <w:proofErr w:type="gramEnd"/>
      <w:r w:rsidR="00DC61D3" w:rsidRPr="003E465F">
        <w:rPr>
          <w:rFonts w:ascii="Arial" w:hAnsi="Arial" w:cs="Arial"/>
          <w:sz w:val="21"/>
          <w:szCs w:val="21"/>
        </w:rPr>
        <w:t xml:space="preserve"> development time, similarity to huma</w:t>
      </w:r>
      <w:r w:rsidR="00FF429B" w:rsidRPr="003E465F">
        <w:rPr>
          <w:rFonts w:ascii="Arial" w:hAnsi="Arial" w:cs="Arial"/>
          <w:sz w:val="21"/>
          <w:szCs w:val="21"/>
        </w:rPr>
        <w:t>n visual systems, highly conserved regions of ABCA4 to humans, and that it has been established as a quality species for studies into retinopathies.</w:t>
      </w:r>
      <w:r w:rsidR="00FF429B" w:rsidRPr="003E465F">
        <w:rPr>
          <w:rFonts w:ascii="Arial" w:hAnsi="Arial" w:cs="Arial"/>
          <w:sz w:val="21"/>
          <w:szCs w:val="21"/>
          <w:vertAlign w:val="superscript"/>
        </w:rPr>
        <w:t>6</w:t>
      </w:r>
    </w:p>
    <w:p w14:paraId="55D9D5DD" w14:textId="77777777" w:rsidR="00FF429B" w:rsidRPr="003E465F" w:rsidRDefault="00FF429B" w:rsidP="00FF429B">
      <w:pPr>
        <w:spacing w:after="0" w:line="240" w:lineRule="auto"/>
        <w:rPr>
          <w:rFonts w:ascii="Arial" w:hAnsi="Arial" w:cs="Arial"/>
          <w:sz w:val="21"/>
          <w:szCs w:val="21"/>
        </w:rPr>
      </w:pPr>
    </w:p>
    <w:p w14:paraId="6E70CC60" w14:textId="72F367AF" w:rsidR="00752CA6" w:rsidRPr="003E465F" w:rsidRDefault="00FF429B" w:rsidP="00FF429B">
      <w:pPr>
        <w:spacing w:after="0" w:line="240" w:lineRule="auto"/>
        <w:rPr>
          <w:rFonts w:ascii="Arial" w:hAnsi="Arial" w:cs="Arial"/>
          <w:b/>
          <w:bCs/>
          <w:sz w:val="21"/>
          <w:szCs w:val="21"/>
        </w:rPr>
      </w:pPr>
      <w:r w:rsidRPr="003E465F">
        <w:rPr>
          <w:rFonts w:ascii="Arial" w:hAnsi="Arial" w:cs="Arial"/>
          <w:b/>
          <w:bCs/>
          <w:sz w:val="21"/>
          <w:szCs w:val="21"/>
        </w:rPr>
        <w:t xml:space="preserve">Aim 1: Determine </w:t>
      </w:r>
      <w:r w:rsidR="00FF64A6" w:rsidRPr="003E465F">
        <w:rPr>
          <w:rFonts w:ascii="Arial" w:hAnsi="Arial" w:cs="Arial"/>
          <w:b/>
          <w:bCs/>
          <w:sz w:val="21"/>
          <w:szCs w:val="21"/>
        </w:rPr>
        <w:t>domains important for retinol metabolism</w:t>
      </w:r>
      <w:r w:rsidRPr="003E465F">
        <w:rPr>
          <w:rFonts w:ascii="Arial" w:hAnsi="Arial" w:cs="Arial"/>
          <w:b/>
          <w:bCs/>
          <w:sz w:val="21"/>
          <w:szCs w:val="21"/>
        </w:rPr>
        <w:t xml:space="preserve"> between human and </w:t>
      </w:r>
      <w:r w:rsidRPr="003E465F">
        <w:rPr>
          <w:rFonts w:ascii="Arial" w:hAnsi="Arial" w:cs="Arial"/>
          <w:b/>
          <w:bCs/>
          <w:i/>
          <w:iCs/>
          <w:sz w:val="21"/>
          <w:szCs w:val="21"/>
        </w:rPr>
        <w:t>Danio rerio</w:t>
      </w:r>
      <w:r w:rsidRPr="003E465F">
        <w:rPr>
          <w:rFonts w:ascii="Arial" w:hAnsi="Arial" w:cs="Arial"/>
          <w:b/>
          <w:bCs/>
          <w:sz w:val="21"/>
          <w:szCs w:val="21"/>
        </w:rPr>
        <w:t xml:space="preserve"> ABCA4 genes.</w:t>
      </w:r>
    </w:p>
    <w:p w14:paraId="38E9D096" w14:textId="406B76B2" w:rsidR="00123118" w:rsidRPr="003E465F" w:rsidRDefault="00123118" w:rsidP="00FF429B">
      <w:pPr>
        <w:spacing w:after="0" w:line="240" w:lineRule="auto"/>
        <w:rPr>
          <w:rFonts w:ascii="Arial" w:hAnsi="Arial" w:cs="Arial"/>
          <w:sz w:val="21"/>
          <w:szCs w:val="21"/>
        </w:rPr>
      </w:pPr>
      <w:r w:rsidRPr="003E465F">
        <w:rPr>
          <w:rFonts w:ascii="Arial" w:hAnsi="Arial" w:cs="Arial"/>
          <w:b/>
          <w:bCs/>
          <w:sz w:val="21"/>
          <w:szCs w:val="21"/>
        </w:rPr>
        <w:t>Hypothesis:</w:t>
      </w:r>
      <w:r w:rsidRPr="003E465F">
        <w:rPr>
          <w:rFonts w:ascii="Arial" w:hAnsi="Arial" w:cs="Arial"/>
          <w:sz w:val="21"/>
          <w:szCs w:val="21"/>
        </w:rPr>
        <w:t xml:space="preserve"> </w:t>
      </w:r>
      <w:r w:rsidRPr="003E465F">
        <w:rPr>
          <w:rFonts w:ascii="Arial" w:hAnsi="Arial" w:cs="Arial"/>
          <w:i/>
          <w:iCs/>
          <w:sz w:val="21"/>
          <w:szCs w:val="21"/>
        </w:rPr>
        <w:t>Danio rerio</w:t>
      </w:r>
      <w:r w:rsidRPr="003E465F">
        <w:rPr>
          <w:rFonts w:ascii="Arial" w:hAnsi="Arial" w:cs="Arial"/>
          <w:sz w:val="21"/>
          <w:szCs w:val="21"/>
        </w:rPr>
        <w:t xml:space="preserve"> and human </w:t>
      </w:r>
      <w:r w:rsidR="002051E2" w:rsidRPr="003E465F">
        <w:rPr>
          <w:rFonts w:ascii="Arial" w:hAnsi="Arial" w:cs="Arial"/>
          <w:sz w:val="21"/>
          <w:szCs w:val="21"/>
        </w:rPr>
        <w:t xml:space="preserve">mutations in ABCA4 conserved regions will confer similar </w:t>
      </w:r>
      <w:r w:rsidR="00FF64A6" w:rsidRPr="003E465F">
        <w:rPr>
          <w:rFonts w:ascii="Arial" w:hAnsi="Arial" w:cs="Arial"/>
          <w:sz w:val="21"/>
          <w:szCs w:val="21"/>
        </w:rPr>
        <w:t xml:space="preserve">retinol metabolism </w:t>
      </w:r>
      <w:r w:rsidR="002051E2" w:rsidRPr="003E465F">
        <w:rPr>
          <w:rFonts w:ascii="Arial" w:hAnsi="Arial" w:cs="Arial"/>
          <w:sz w:val="21"/>
          <w:szCs w:val="21"/>
        </w:rPr>
        <w:t>phenotypes.</w:t>
      </w:r>
    </w:p>
    <w:p w14:paraId="49761DFA" w14:textId="17B290B2" w:rsidR="00FF429B" w:rsidRPr="003E465F" w:rsidRDefault="00FF429B" w:rsidP="00FF429B">
      <w:pPr>
        <w:spacing w:after="0" w:line="240" w:lineRule="auto"/>
        <w:rPr>
          <w:rFonts w:ascii="Arial" w:hAnsi="Arial" w:cs="Arial"/>
          <w:sz w:val="21"/>
          <w:szCs w:val="21"/>
        </w:rPr>
      </w:pPr>
      <w:r w:rsidRPr="003E465F">
        <w:rPr>
          <w:rFonts w:ascii="Arial" w:hAnsi="Arial" w:cs="Arial"/>
          <w:b/>
          <w:bCs/>
          <w:sz w:val="21"/>
          <w:szCs w:val="21"/>
        </w:rPr>
        <w:t>Approach:</w:t>
      </w:r>
      <w:r w:rsidRPr="003E465F">
        <w:rPr>
          <w:rFonts w:ascii="Arial" w:hAnsi="Arial" w:cs="Arial"/>
          <w:sz w:val="21"/>
          <w:szCs w:val="21"/>
        </w:rPr>
        <w:t xml:space="preserve"> </w:t>
      </w:r>
      <w:r w:rsidR="00123118" w:rsidRPr="003E465F">
        <w:rPr>
          <w:rFonts w:ascii="Arial" w:hAnsi="Arial" w:cs="Arial"/>
          <w:sz w:val="21"/>
          <w:szCs w:val="21"/>
        </w:rPr>
        <w:t xml:space="preserve">NCBI BLAST can be used to determine homologs between human ABCA4 and </w:t>
      </w:r>
      <w:r w:rsidR="00123118" w:rsidRPr="003E465F">
        <w:rPr>
          <w:rFonts w:ascii="Arial" w:hAnsi="Arial" w:cs="Arial"/>
          <w:i/>
          <w:iCs/>
          <w:sz w:val="21"/>
          <w:szCs w:val="21"/>
        </w:rPr>
        <w:t>Danio rerio</w:t>
      </w:r>
      <w:r w:rsidR="00123118" w:rsidRPr="003E465F">
        <w:rPr>
          <w:rFonts w:ascii="Arial" w:hAnsi="Arial" w:cs="Arial"/>
          <w:sz w:val="21"/>
          <w:szCs w:val="21"/>
        </w:rPr>
        <w:t xml:space="preserve"> equivalents. This can be followed with </w:t>
      </w:r>
      <w:proofErr w:type="spellStart"/>
      <w:r w:rsidR="00123118" w:rsidRPr="003E465F">
        <w:rPr>
          <w:rFonts w:ascii="Arial" w:hAnsi="Arial" w:cs="Arial"/>
          <w:sz w:val="21"/>
          <w:szCs w:val="21"/>
        </w:rPr>
        <w:t>Clustal</w:t>
      </w:r>
      <w:proofErr w:type="spellEnd"/>
      <w:r w:rsidR="00123118" w:rsidRPr="003E465F">
        <w:rPr>
          <w:rFonts w:ascii="Arial" w:hAnsi="Arial" w:cs="Arial"/>
          <w:sz w:val="21"/>
          <w:szCs w:val="21"/>
        </w:rPr>
        <w:t xml:space="preserve"> Omega to identify conserved regions. The regions can then be disrupted with </w:t>
      </w:r>
      <w:r w:rsidR="002051E2" w:rsidRPr="003E465F">
        <w:rPr>
          <w:rFonts w:ascii="Arial" w:hAnsi="Arial" w:cs="Arial"/>
          <w:sz w:val="21"/>
          <w:szCs w:val="21"/>
        </w:rPr>
        <w:t>CRISPR-Cas9 and phenotypes can be analyzed and compared.</w:t>
      </w:r>
    </w:p>
    <w:p w14:paraId="3865CDE3" w14:textId="0DC72B5A" w:rsidR="002051E2" w:rsidRPr="003E465F" w:rsidRDefault="002051E2" w:rsidP="00FF429B">
      <w:pPr>
        <w:spacing w:after="0" w:line="240" w:lineRule="auto"/>
        <w:rPr>
          <w:rFonts w:ascii="Arial" w:hAnsi="Arial" w:cs="Arial"/>
          <w:sz w:val="21"/>
          <w:szCs w:val="21"/>
        </w:rPr>
      </w:pPr>
      <w:r w:rsidRPr="003E465F">
        <w:rPr>
          <w:rFonts w:ascii="Arial" w:hAnsi="Arial" w:cs="Arial"/>
          <w:b/>
          <w:bCs/>
          <w:sz w:val="21"/>
          <w:szCs w:val="21"/>
        </w:rPr>
        <w:t>Rationale:</w:t>
      </w:r>
      <w:r w:rsidRPr="003E465F">
        <w:rPr>
          <w:rFonts w:ascii="Arial" w:hAnsi="Arial" w:cs="Arial"/>
          <w:sz w:val="21"/>
          <w:szCs w:val="21"/>
        </w:rPr>
        <w:t xml:space="preserve"> Through analysis of phenotypes in </w:t>
      </w:r>
      <w:r w:rsidRPr="003E465F">
        <w:rPr>
          <w:rFonts w:ascii="Arial" w:hAnsi="Arial" w:cs="Arial"/>
          <w:i/>
          <w:iCs/>
          <w:sz w:val="21"/>
          <w:szCs w:val="21"/>
        </w:rPr>
        <w:t>Danio rerio</w:t>
      </w:r>
      <w:r w:rsidRPr="003E465F">
        <w:rPr>
          <w:rFonts w:ascii="Arial" w:hAnsi="Arial" w:cs="Arial"/>
          <w:sz w:val="21"/>
          <w:szCs w:val="21"/>
        </w:rPr>
        <w:t xml:space="preserve"> ABCA4 conserved region mutations it can be determined how similar the </w:t>
      </w:r>
      <w:r w:rsidR="00FF64A6" w:rsidRPr="003E465F">
        <w:rPr>
          <w:rFonts w:ascii="Arial" w:hAnsi="Arial" w:cs="Arial"/>
          <w:sz w:val="21"/>
          <w:szCs w:val="21"/>
        </w:rPr>
        <w:t xml:space="preserve">mutant phenotypes are between human and </w:t>
      </w:r>
      <w:r w:rsidR="00FF64A6" w:rsidRPr="003E465F">
        <w:rPr>
          <w:rFonts w:ascii="Arial" w:hAnsi="Arial" w:cs="Arial"/>
          <w:i/>
          <w:iCs/>
          <w:sz w:val="21"/>
          <w:szCs w:val="21"/>
        </w:rPr>
        <w:t>Danio rerio</w:t>
      </w:r>
      <w:r w:rsidR="00FF64A6" w:rsidRPr="003E465F">
        <w:rPr>
          <w:rFonts w:ascii="Arial" w:hAnsi="Arial" w:cs="Arial"/>
          <w:sz w:val="21"/>
          <w:szCs w:val="21"/>
        </w:rPr>
        <w:t>, and which domains are critical for retinol metabolism</w:t>
      </w:r>
      <w:r w:rsidRPr="003E465F">
        <w:rPr>
          <w:rFonts w:ascii="Arial" w:hAnsi="Arial" w:cs="Arial"/>
          <w:sz w:val="21"/>
          <w:szCs w:val="21"/>
        </w:rPr>
        <w:t xml:space="preserve">. </w:t>
      </w:r>
      <w:r w:rsidR="00FF64A6" w:rsidRPr="003E465F">
        <w:rPr>
          <w:rFonts w:ascii="Arial" w:hAnsi="Arial" w:cs="Arial"/>
          <w:sz w:val="21"/>
          <w:szCs w:val="21"/>
        </w:rPr>
        <w:t xml:space="preserve">It can also orient us to differences we may have to account for between </w:t>
      </w:r>
      <w:r w:rsidR="00FF64A6" w:rsidRPr="003E465F">
        <w:rPr>
          <w:rFonts w:ascii="Arial" w:hAnsi="Arial" w:cs="Arial"/>
          <w:i/>
          <w:iCs/>
          <w:sz w:val="21"/>
          <w:szCs w:val="21"/>
        </w:rPr>
        <w:t xml:space="preserve">Danio rerio </w:t>
      </w:r>
      <w:r w:rsidR="00FF64A6" w:rsidRPr="003E465F">
        <w:rPr>
          <w:rFonts w:ascii="Arial" w:hAnsi="Arial" w:cs="Arial"/>
          <w:sz w:val="21"/>
          <w:szCs w:val="21"/>
        </w:rPr>
        <w:t>and humans</w:t>
      </w:r>
      <w:r w:rsidRPr="003E465F">
        <w:rPr>
          <w:rFonts w:ascii="Arial" w:hAnsi="Arial" w:cs="Arial"/>
          <w:sz w:val="21"/>
          <w:szCs w:val="21"/>
        </w:rPr>
        <w:t>.</w:t>
      </w:r>
    </w:p>
    <w:p w14:paraId="2CD6C49C" w14:textId="46414EE4" w:rsidR="00FF64A6" w:rsidRPr="003E465F" w:rsidRDefault="00FF64A6" w:rsidP="00FF429B">
      <w:pPr>
        <w:spacing w:after="0" w:line="240" w:lineRule="auto"/>
        <w:rPr>
          <w:rFonts w:ascii="Arial" w:hAnsi="Arial" w:cs="Arial"/>
          <w:sz w:val="21"/>
          <w:szCs w:val="21"/>
        </w:rPr>
      </w:pPr>
    </w:p>
    <w:p w14:paraId="527C5FD6" w14:textId="2A6142A0" w:rsidR="00FF64A6" w:rsidRPr="003E465F" w:rsidRDefault="00FF64A6" w:rsidP="00FF429B">
      <w:pPr>
        <w:spacing w:after="0" w:line="240" w:lineRule="auto"/>
        <w:rPr>
          <w:rFonts w:ascii="Arial" w:hAnsi="Arial" w:cs="Arial"/>
          <w:b/>
          <w:bCs/>
          <w:sz w:val="21"/>
          <w:szCs w:val="21"/>
        </w:rPr>
      </w:pPr>
      <w:r w:rsidRPr="003E465F">
        <w:rPr>
          <w:rFonts w:ascii="Arial" w:hAnsi="Arial" w:cs="Arial"/>
          <w:b/>
          <w:bCs/>
          <w:sz w:val="21"/>
          <w:szCs w:val="21"/>
        </w:rPr>
        <w:t>Aim 2: Determine modulation of retinol metabolism.</w:t>
      </w:r>
    </w:p>
    <w:p w14:paraId="7045CDA9" w14:textId="6D6EB99A" w:rsidR="00FF64A6" w:rsidRPr="003E465F" w:rsidRDefault="00FF64A6" w:rsidP="00FF429B">
      <w:pPr>
        <w:spacing w:after="0" w:line="240" w:lineRule="auto"/>
        <w:rPr>
          <w:rFonts w:ascii="Arial" w:hAnsi="Arial" w:cs="Arial"/>
          <w:sz w:val="21"/>
          <w:szCs w:val="21"/>
        </w:rPr>
      </w:pPr>
      <w:r w:rsidRPr="003E465F">
        <w:rPr>
          <w:rFonts w:ascii="Arial" w:hAnsi="Arial" w:cs="Arial"/>
          <w:b/>
          <w:bCs/>
          <w:sz w:val="21"/>
          <w:szCs w:val="21"/>
        </w:rPr>
        <w:t xml:space="preserve">Hypothesis: </w:t>
      </w:r>
      <w:r w:rsidRPr="003E465F">
        <w:rPr>
          <w:rFonts w:ascii="Arial" w:hAnsi="Arial" w:cs="Arial"/>
          <w:sz w:val="21"/>
          <w:szCs w:val="21"/>
        </w:rPr>
        <w:t>Retinol metabolism chemical pathways are disrupted in mutant phenotypes</w:t>
      </w:r>
      <w:r w:rsidR="003C510A" w:rsidRPr="003E465F">
        <w:rPr>
          <w:rFonts w:ascii="Arial" w:hAnsi="Arial" w:cs="Arial"/>
          <w:sz w:val="21"/>
          <w:szCs w:val="21"/>
        </w:rPr>
        <w:t>.</w:t>
      </w:r>
    </w:p>
    <w:p w14:paraId="28A67835" w14:textId="6BD4AB02" w:rsidR="002051E2" w:rsidRPr="003E465F" w:rsidRDefault="003C510A" w:rsidP="00FF429B">
      <w:pPr>
        <w:spacing w:after="0" w:line="240" w:lineRule="auto"/>
        <w:rPr>
          <w:rFonts w:ascii="Arial" w:hAnsi="Arial" w:cs="Arial"/>
          <w:sz w:val="21"/>
          <w:szCs w:val="21"/>
        </w:rPr>
      </w:pPr>
      <w:r w:rsidRPr="003E465F">
        <w:rPr>
          <w:rFonts w:ascii="Arial" w:hAnsi="Arial" w:cs="Arial"/>
          <w:b/>
          <w:bCs/>
          <w:sz w:val="21"/>
          <w:szCs w:val="21"/>
        </w:rPr>
        <w:t>Approach:</w:t>
      </w:r>
      <w:r w:rsidRPr="003E465F">
        <w:rPr>
          <w:rFonts w:ascii="Arial" w:hAnsi="Arial" w:cs="Arial"/>
          <w:sz w:val="21"/>
          <w:szCs w:val="21"/>
        </w:rPr>
        <w:t xml:space="preserve"> Common mutant and wild type </w:t>
      </w:r>
      <w:r w:rsidRPr="003E465F">
        <w:rPr>
          <w:rFonts w:ascii="Arial" w:hAnsi="Arial" w:cs="Arial"/>
          <w:i/>
          <w:iCs/>
          <w:sz w:val="21"/>
          <w:szCs w:val="21"/>
        </w:rPr>
        <w:t xml:space="preserve">Danio </w:t>
      </w:r>
      <w:r w:rsidRPr="003E465F">
        <w:rPr>
          <w:rFonts w:ascii="Arial" w:hAnsi="Arial" w:cs="Arial"/>
          <w:sz w:val="21"/>
          <w:szCs w:val="21"/>
        </w:rPr>
        <w:t xml:space="preserve">rerio populations can be produced, mutations developed via CRISPR-Cas9, and put through a wide chemical screen with some of the chemicals chosen using the PubChem website. The following phenotypes can then be analyzed in the mutant and wild type </w:t>
      </w:r>
      <w:r w:rsidRPr="003E465F">
        <w:rPr>
          <w:rFonts w:ascii="Arial" w:hAnsi="Arial" w:cs="Arial"/>
          <w:i/>
          <w:iCs/>
          <w:sz w:val="21"/>
          <w:szCs w:val="21"/>
        </w:rPr>
        <w:t>Danio rerio</w:t>
      </w:r>
      <w:r w:rsidRPr="003E465F">
        <w:rPr>
          <w:rFonts w:ascii="Arial" w:hAnsi="Arial" w:cs="Arial"/>
          <w:sz w:val="21"/>
          <w:szCs w:val="21"/>
        </w:rPr>
        <w:t xml:space="preserve"> subjects.</w:t>
      </w:r>
    </w:p>
    <w:p w14:paraId="58B15B38" w14:textId="2AA6637E" w:rsidR="003C510A" w:rsidRPr="003E465F" w:rsidRDefault="003C510A" w:rsidP="00FF429B">
      <w:pPr>
        <w:spacing w:after="0" w:line="240" w:lineRule="auto"/>
        <w:rPr>
          <w:rFonts w:ascii="Arial" w:hAnsi="Arial" w:cs="Arial"/>
          <w:sz w:val="21"/>
          <w:szCs w:val="21"/>
        </w:rPr>
      </w:pPr>
      <w:r w:rsidRPr="003E465F">
        <w:rPr>
          <w:rFonts w:ascii="Arial" w:hAnsi="Arial" w:cs="Arial"/>
          <w:b/>
          <w:bCs/>
          <w:sz w:val="21"/>
          <w:szCs w:val="21"/>
        </w:rPr>
        <w:t>Rationale:</w:t>
      </w:r>
      <w:r w:rsidRPr="003E465F">
        <w:rPr>
          <w:rFonts w:ascii="Arial" w:hAnsi="Arial" w:cs="Arial"/>
          <w:sz w:val="21"/>
          <w:szCs w:val="21"/>
        </w:rPr>
        <w:t xml:space="preserve"> </w:t>
      </w:r>
      <w:r w:rsidR="00530BCC" w:rsidRPr="003E465F">
        <w:rPr>
          <w:rFonts w:ascii="Arial" w:hAnsi="Arial" w:cs="Arial"/>
          <w:sz w:val="21"/>
          <w:szCs w:val="21"/>
        </w:rPr>
        <w:t xml:space="preserve">Analysis of the resulting phenotypes, both wild type and mutant </w:t>
      </w:r>
      <w:r w:rsidR="00530BCC" w:rsidRPr="003E465F">
        <w:rPr>
          <w:rFonts w:ascii="Arial" w:hAnsi="Arial" w:cs="Arial"/>
          <w:i/>
          <w:iCs/>
          <w:sz w:val="21"/>
          <w:szCs w:val="21"/>
        </w:rPr>
        <w:t>Danio rerio</w:t>
      </w:r>
      <w:r w:rsidR="00530BCC" w:rsidRPr="003E465F">
        <w:rPr>
          <w:rFonts w:ascii="Arial" w:hAnsi="Arial" w:cs="Arial"/>
          <w:sz w:val="21"/>
          <w:szCs w:val="21"/>
        </w:rPr>
        <w:t xml:space="preserve">, can elucidate both chemicals that disrupt retinol metabolism pathways, as well as chemicals that are important for normal operation of retinol metabolism pathways. </w:t>
      </w:r>
    </w:p>
    <w:p w14:paraId="4C43B1F0" w14:textId="5C0E23DF" w:rsidR="00530BCC" w:rsidRPr="003E465F" w:rsidRDefault="00530BCC" w:rsidP="00FF429B">
      <w:pPr>
        <w:spacing w:after="0" w:line="240" w:lineRule="auto"/>
        <w:rPr>
          <w:rFonts w:ascii="Arial" w:hAnsi="Arial" w:cs="Arial"/>
          <w:sz w:val="21"/>
          <w:szCs w:val="21"/>
        </w:rPr>
      </w:pPr>
    </w:p>
    <w:p w14:paraId="2582FA21" w14:textId="235145B9" w:rsidR="00530BCC" w:rsidRPr="003E465F" w:rsidRDefault="00530BCC" w:rsidP="00FF429B">
      <w:pPr>
        <w:spacing w:after="0" w:line="240" w:lineRule="auto"/>
        <w:rPr>
          <w:rFonts w:ascii="Arial" w:hAnsi="Arial" w:cs="Arial"/>
          <w:b/>
          <w:bCs/>
          <w:sz w:val="21"/>
          <w:szCs w:val="21"/>
        </w:rPr>
      </w:pPr>
      <w:r w:rsidRPr="003E465F">
        <w:rPr>
          <w:rFonts w:ascii="Arial" w:hAnsi="Arial" w:cs="Arial"/>
          <w:b/>
          <w:bCs/>
          <w:sz w:val="21"/>
          <w:szCs w:val="21"/>
        </w:rPr>
        <w:t>Aim 3: Determine the expression of retinol metabolism genes through time.</w:t>
      </w:r>
    </w:p>
    <w:p w14:paraId="7FEC9E6C" w14:textId="36BF9192" w:rsidR="00530BCC" w:rsidRPr="003E465F" w:rsidRDefault="00530BCC" w:rsidP="00FF429B">
      <w:pPr>
        <w:spacing w:after="0" w:line="240" w:lineRule="auto"/>
        <w:rPr>
          <w:rFonts w:ascii="Arial" w:hAnsi="Arial" w:cs="Arial"/>
          <w:sz w:val="21"/>
          <w:szCs w:val="21"/>
        </w:rPr>
      </w:pPr>
      <w:r w:rsidRPr="003E465F">
        <w:rPr>
          <w:rFonts w:ascii="Arial" w:hAnsi="Arial" w:cs="Arial"/>
          <w:b/>
          <w:bCs/>
          <w:sz w:val="21"/>
          <w:szCs w:val="21"/>
        </w:rPr>
        <w:t xml:space="preserve">Hypothesis: </w:t>
      </w:r>
      <w:r w:rsidRPr="003E465F">
        <w:rPr>
          <w:rFonts w:ascii="Arial" w:hAnsi="Arial" w:cs="Arial"/>
          <w:sz w:val="21"/>
          <w:szCs w:val="21"/>
        </w:rPr>
        <w:t>ABCA4 and other retinol metabolism genes change expression over the lifetime of species.</w:t>
      </w:r>
    </w:p>
    <w:p w14:paraId="6E406614" w14:textId="79B0F590" w:rsidR="00530BCC" w:rsidRPr="003E465F" w:rsidRDefault="00530BCC" w:rsidP="00FF429B">
      <w:pPr>
        <w:spacing w:after="0" w:line="240" w:lineRule="auto"/>
        <w:rPr>
          <w:rFonts w:ascii="Arial" w:hAnsi="Arial" w:cs="Arial"/>
          <w:sz w:val="21"/>
          <w:szCs w:val="21"/>
        </w:rPr>
      </w:pPr>
      <w:r w:rsidRPr="003E465F">
        <w:rPr>
          <w:rFonts w:ascii="Arial" w:hAnsi="Arial" w:cs="Arial"/>
          <w:b/>
          <w:bCs/>
          <w:sz w:val="21"/>
          <w:szCs w:val="21"/>
        </w:rPr>
        <w:t>Approach:</w:t>
      </w:r>
      <w:r w:rsidRPr="003E465F">
        <w:rPr>
          <w:rFonts w:ascii="Arial" w:hAnsi="Arial" w:cs="Arial"/>
          <w:sz w:val="21"/>
          <w:szCs w:val="21"/>
        </w:rPr>
        <w:t xml:space="preserve"> </w:t>
      </w:r>
      <w:r w:rsidR="00EC3145" w:rsidRPr="003E465F">
        <w:rPr>
          <w:rFonts w:ascii="Arial" w:hAnsi="Arial" w:cs="Arial"/>
          <w:i/>
          <w:iCs/>
          <w:sz w:val="21"/>
          <w:szCs w:val="21"/>
        </w:rPr>
        <w:t>Danio rerio</w:t>
      </w:r>
      <w:r w:rsidR="00EC3145" w:rsidRPr="003E465F">
        <w:rPr>
          <w:rFonts w:ascii="Arial" w:hAnsi="Arial" w:cs="Arial"/>
          <w:sz w:val="21"/>
          <w:szCs w:val="21"/>
        </w:rPr>
        <w:t xml:space="preserve"> retinal cells can be collected, with single cell types separated by tagging unique cell membrane features with fluorescing antibodies and isolated using fluorescent activated cell sorting. Cell types and expression can then be collected using single-cell RNA sequencing before analyzing using dimensionality reduction techniques such as principle component analysis and t-SNE.</w:t>
      </w:r>
    </w:p>
    <w:p w14:paraId="14C993F2" w14:textId="7717F2F6" w:rsidR="00EC3145" w:rsidRPr="003E465F" w:rsidRDefault="00EC3145" w:rsidP="00FF429B">
      <w:pPr>
        <w:spacing w:after="0" w:line="240" w:lineRule="auto"/>
        <w:rPr>
          <w:rFonts w:ascii="Arial" w:hAnsi="Arial" w:cs="Arial"/>
          <w:sz w:val="21"/>
          <w:szCs w:val="21"/>
        </w:rPr>
      </w:pPr>
      <w:r w:rsidRPr="003E465F">
        <w:rPr>
          <w:rFonts w:ascii="Arial" w:hAnsi="Arial" w:cs="Arial"/>
          <w:b/>
          <w:bCs/>
          <w:sz w:val="21"/>
          <w:szCs w:val="21"/>
        </w:rPr>
        <w:t>Rationale:</w:t>
      </w:r>
      <w:r w:rsidRPr="003E465F">
        <w:rPr>
          <w:rFonts w:ascii="Arial" w:hAnsi="Arial" w:cs="Arial"/>
          <w:sz w:val="21"/>
          <w:szCs w:val="21"/>
        </w:rPr>
        <w:t xml:space="preserve"> </w:t>
      </w:r>
      <w:r w:rsidR="00CF6025" w:rsidRPr="003E465F">
        <w:rPr>
          <w:rFonts w:ascii="Arial" w:hAnsi="Arial" w:cs="Arial"/>
          <w:sz w:val="21"/>
          <w:szCs w:val="21"/>
        </w:rPr>
        <w:t>Analysis of expression could allow for an understanding of cell regulatory networks and response at different points in the life cycle. It would also allow for further understanding of ABCA4 in its regulatory network.</w:t>
      </w:r>
    </w:p>
    <w:p w14:paraId="1C0F0AC6" w14:textId="081CFD70" w:rsidR="00CF6025" w:rsidRDefault="00CF6025" w:rsidP="00FF429B">
      <w:pPr>
        <w:spacing w:after="0" w:line="240" w:lineRule="auto"/>
        <w:rPr>
          <w:rFonts w:ascii="Arial" w:hAnsi="Arial" w:cs="Arial"/>
          <w:sz w:val="19"/>
          <w:szCs w:val="19"/>
        </w:rPr>
      </w:pPr>
    </w:p>
    <w:p w14:paraId="3220DF35" w14:textId="77777777" w:rsidR="00752CA6" w:rsidRDefault="00752CA6" w:rsidP="00FF429B">
      <w:pPr>
        <w:spacing w:after="0" w:line="240" w:lineRule="auto"/>
        <w:rPr>
          <w:rFonts w:ascii="Arial" w:hAnsi="Arial" w:cs="Arial"/>
          <w:sz w:val="19"/>
          <w:szCs w:val="19"/>
        </w:rPr>
      </w:pPr>
    </w:p>
    <w:p w14:paraId="14C521FC" w14:textId="77777777" w:rsidR="003E465F" w:rsidRDefault="003E465F" w:rsidP="00FF429B">
      <w:pPr>
        <w:spacing w:after="0" w:line="240" w:lineRule="auto"/>
        <w:rPr>
          <w:rFonts w:ascii="Arial" w:hAnsi="Arial" w:cs="Arial"/>
          <w:sz w:val="19"/>
          <w:szCs w:val="19"/>
        </w:rPr>
      </w:pPr>
    </w:p>
    <w:p w14:paraId="5A5BD191" w14:textId="79E657D9" w:rsidR="00752CA6" w:rsidRDefault="00752CA6" w:rsidP="00FF429B">
      <w:pPr>
        <w:spacing w:after="0" w:line="240" w:lineRule="auto"/>
        <w:rPr>
          <w:rFonts w:ascii="Arial" w:hAnsi="Arial" w:cs="Arial"/>
          <w:sz w:val="19"/>
          <w:szCs w:val="19"/>
        </w:rPr>
      </w:pPr>
      <w:r>
        <w:rPr>
          <w:rFonts w:ascii="Arial" w:hAnsi="Arial" w:cs="Arial"/>
          <w:sz w:val="19"/>
          <w:szCs w:val="19"/>
        </w:rPr>
        <w:lastRenderedPageBreak/>
        <w:t>References:</w:t>
      </w:r>
    </w:p>
    <w:p w14:paraId="6ED12852" w14:textId="478FF3EA" w:rsidR="006D31A8" w:rsidRDefault="00CD11A2" w:rsidP="00FF429B">
      <w:pPr>
        <w:spacing w:after="0" w:line="240" w:lineRule="auto"/>
        <w:rPr>
          <w:rFonts w:ascii="Arial" w:hAnsi="Arial" w:cs="Arial"/>
          <w:sz w:val="19"/>
          <w:szCs w:val="19"/>
        </w:rPr>
      </w:pPr>
      <w:r>
        <w:rPr>
          <w:rFonts w:ascii="Arial" w:hAnsi="Arial" w:cs="Arial"/>
          <w:sz w:val="19"/>
          <w:szCs w:val="19"/>
        </w:rPr>
        <w:t xml:space="preserve">1. </w:t>
      </w:r>
      <w:proofErr w:type="spellStart"/>
      <w:r w:rsidR="00752CA6" w:rsidRPr="00752CA6">
        <w:rPr>
          <w:rFonts w:ascii="Arial" w:hAnsi="Arial" w:cs="Arial"/>
          <w:sz w:val="19"/>
          <w:szCs w:val="19"/>
        </w:rPr>
        <w:t>Allikmets</w:t>
      </w:r>
      <w:proofErr w:type="spellEnd"/>
      <w:r w:rsidR="00752CA6" w:rsidRPr="00752CA6">
        <w:rPr>
          <w:rFonts w:ascii="Arial" w:hAnsi="Arial" w:cs="Arial"/>
          <w:sz w:val="19"/>
          <w:szCs w:val="19"/>
        </w:rPr>
        <w:t xml:space="preserve">, R. (1997). Mutation of the Stargardt Disease Gene (ABCR) in Age-Related Macular Degeneration. Science, 277(5333), 1805–1807. </w:t>
      </w:r>
      <w:proofErr w:type="spellStart"/>
      <w:r w:rsidR="00752CA6" w:rsidRPr="00752CA6">
        <w:rPr>
          <w:rFonts w:ascii="Arial" w:hAnsi="Arial" w:cs="Arial"/>
          <w:sz w:val="19"/>
          <w:szCs w:val="19"/>
        </w:rPr>
        <w:t>doi</w:t>
      </w:r>
      <w:proofErr w:type="spellEnd"/>
      <w:r w:rsidR="00752CA6" w:rsidRPr="00752CA6">
        <w:rPr>
          <w:rFonts w:ascii="Arial" w:hAnsi="Arial" w:cs="Arial"/>
          <w:sz w:val="19"/>
          <w:szCs w:val="19"/>
        </w:rPr>
        <w:t>: 10.1126/science.277.5333.1805</w:t>
      </w:r>
      <w:r w:rsidR="00752CA6">
        <w:rPr>
          <w:rFonts w:ascii="Arial" w:hAnsi="Arial" w:cs="Arial"/>
          <w:sz w:val="19"/>
          <w:szCs w:val="19"/>
        </w:rPr>
        <w:t xml:space="preserve"> </w:t>
      </w:r>
    </w:p>
    <w:p w14:paraId="788D439A" w14:textId="2340AC45" w:rsidR="00CD11A2" w:rsidRDefault="00CD11A2" w:rsidP="00FF429B">
      <w:pPr>
        <w:spacing w:after="0" w:line="240" w:lineRule="auto"/>
        <w:rPr>
          <w:rFonts w:ascii="Arial" w:hAnsi="Arial" w:cs="Arial"/>
          <w:sz w:val="19"/>
          <w:szCs w:val="19"/>
        </w:rPr>
      </w:pPr>
      <w:r>
        <w:rPr>
          <w:rFonts w:ascii="Arial" w:hAnsi="Arial" w:cs="Arial"/>
          <w:sz w:val="19"/>
          <w:szCs w:val="19"/>
        </w:rPr>
        <w:t xml:space="preserve">2. </w:t>
      </w:r>
      <w:proofErr w:type="spellStart"/>
      <w:r w:rsidRPr="00CD11A2">
        <w:rPr>
          <w:rFonts w:ascii="Arial" w:hAnsi="Arial" w:cs="Arial"/>
          <w:sz w:val="19"/>
          <w:szCs w:val="19"/>
        </w:rPr>
        <w:t>Quazi</w:t>
      </w:r>
      <w:proofErr w:type="spellEnd"/>
      <w:r w:rsidRPr="00CD11A2">
        <w:rPr>
          <w:rFonts w:ascii="Arial" w:hAnsi="Arial" w:cs="Arial"/>
          <w:sz w:val="19"/>
          <w:szCs w:val="19"/>
        </w:rPr>
        <w:t xml:space="preserve">, F., &amp; </w:t>
      </w:r>
      <w:proofErr w:type="spellStart"/>
      <w:r w:rsidRPr="00CD11A2">
        <w:rPr>
          <w:rFonts w:ascii="Arial" w:hAnsi="Arial" w:cs="Arial"/>
          <w:sz w:val="19"/>
          <w:szCs w:val="19"/>
        </w:rPr>
        <w:t>Molday</w:t>
      </w:r>
      <w:proofErr w:type="spellEnd"/>
      <w:r w:rsidRPr="00CD11A2">
        <w:rPr>
          <w:rFonts w:ascii="Arial" w:hAnsi="Arial" w:cs="Arial"/>
          <w:sz w:val="19"/>
          <w:szCs w:val="19"/>
        </w:rPr>
        <w:t xml:space="preserve">, R. S. (2013). Differential Phospholipid Substrates and Directional Transport by ATP-binding Cassette Proteins ABCA1, ABCA7, and ABCA4 and Disease-causing Mutants. Journal of Biological Chemistry, 288(48), 34414–34426. </w:t>
      </w:r>
      <w:proofErr w:type="spellStart"/>
      <w:r w:rsidRPr="00CD11A2">
        <w:rPr>
          <w:rFonts w:ascii="Arial" w:hAnsi="Arial" w:cs="Arial"/>
          <w:sz w:val="19"/>
          <w:szCs w:val="19"/>
        </w:rPr>
        <w:t>doi</w:t>
      </w:r>
      <w:proofErr w:type="spellEnd"/>
      <w:r w:rsidRPr="00CD11A2">
        <w:rPr>
          <w:rFonts w:ascii="Arial" w:hAnsi="Arial" w:cs="Arial"/>
          <w:sz w:val="19"/>
          <w:szCs w:val="19"/>
        </w:rPr>
        <w:t>: 10.1074/jbc.m113.508812</w:t>
      </w:r>
    </w:p>
    <w:p w14:paraId="2D3D3585" w14:textId="4715B057" w:rsidR="00055D1A" w:rsidRDefault="00222236" w:rsidP="00FF429B">
      <w:pPr>
        <w:spacing w:after="0" w:line="240" w:lineRule="auto"/>
        <w:rPr>
          <w:rFonts w:ascii="Arial" w:hAnsi="Arial" w:cs="Arial"/>
          <w:sz w:val="19"/>
          <w:szCs w:val="19"/>
        </w:rPr>
      </w:pPr>
      <w:r w:rsidRPr="00222236">
        <w:rPr>
          <w:rFonts w:ascii="Arial" w:hAnsi="Arial" w:cs="Arial"/>
          <w:sz w:val="19"/>
          <w:szCs w:val="19"/>
          <w:lang w:val="es-ES_tradnl"/>
        </w:rPr>
        <w:t xml:space="preserve">3. </w:t>
      </w:r>
      <w:proofErr w:type="spellStart"/>
      <w:r w:rsidRPr="00222236">
        <w:rPr>
          <w:rFonts w:ascii="Arial" w:hAnsi="Arial" w:cs="Arial"/>
          <w:sz w:val="19"/>
          <w:szCs w:val="19"/>
          <w:lang w:val="es-ES_tradnl"/>
        </w:rPr>
        <w:t>Zernant</w:t>
      </w:r>
      <w:proofErr w:type="spellEnd"/>
      <w:r w:rsidRPr="00222236">
        <w:rPr>
          <w:rFonts w:ascii="Arial" w:hAnsi="Arial" w:cs="Arial"/>
          <w:sz w:val="19"/>
          <w:szCs w:val="19"/>
          <w:lang w:val="es-ES_tradnl"/>
        </w:rPr>
        <w:t xml:space="preserve">, J., </w:t>
      </w:r>
      <w:proofErr w:type="spellStart"/>
      <w:r w:rsidRPr="00222236">
        <w:rPr>
          <w:rFonts w:ascii="Arial" w:hAnsi="Arial" w:cs="Arial"/>
          <w:sz w:val="19"/>
          <w:szCs w:val="19"/>
          <w:lang w:val="es-ES_tradnl"/>
        </w:rPr>
        <w:t>Xie</w:t>
      </w:r>
      <w:proofErr w:type="spellEnd"/>
      <w:r w:rsidRPr="00222236">
        <w:rPr>
          <w:rFonts w:ascii="Arial" w:hAnsi="Arial" w:cs="Arial"/>
          <w:sz w:val="19"/>
          <w:szCs w:val="19"/>
          <w:lang w:val="es-ES_tradnl"/>
        </w:rPr>
        <w:t>, Y. (A., Ayuso, C., Riveiro-</w:t>
      </w:r>
      <w:proofErr w:type="spellStart"/>
      <w:r w:rsidRPr="00222236">
        <w:rPr>
          <w:rFonts w:ascii="Arial" w:hAnsi="Arial" w:cs="Arial"/>
          <w:sz w:val="19"/>
          <w:szCs w:val="19"/>
          <w:lang w:val="es-ES_tradnl"/>
        </w:rPr>
        <w:t>Alvarez</w:t>
      </w:r>
      <w:proofErr w:type="spellEnd"/>
      <w:r w:rsidRPr="00222236">
        <w:rPr>
          <w:rFonts w:ascii="Arial" w:hAnsi="Arial" w:cs="Arial"/>
          <w:sz w:val="19"/>
          <w:szCs w:val="19"/>
          <w:lang w:val="es-ES_tradnl"/>
        </w:rPr>
        <w:t xml:space="preserve">, R., </w:t>
      </w:r>
      <w:proofErr w:type="spellStart"/>
      <w:r w:rsidRPr="00222236">
        <w:rPr>
          <w:rFonts w:ascii="Arial" w:hAnsi="Arial" w:cs="Arial"/>
          <w:sz w:val="19"/>
          <w:szCs w:val="19"/>
          <w:lang w:val="es-ES_tradnl"/>
        </w:rPr>
        <w:t>Lopez-Martinez</w:t>
      </w:r>
      <w:proofErr w:type="spellEnd"/>
      <w:r w:rsidRPr="00222236">
        <w:rPr>
          <w:rFonts w:ascii="Arial" w:hAnsi="Arial" w:cs="Arial"/>
          <w:sz w:val="19"/>
          <w:szCs w:val="19"/>
          <w:lang w:val="es-ES_tradnl"/>
        </w:rPr>
        <w:t xml:space="preserve">, M.-A., </w:t>
      </w:r>
      <w:proofErr w:type="spellStart"/>
      <w:r w:rsidRPr="00222236">
        <w:rPr>
          <w:rFonts w:ascii="Arial" w:hAnsi="Arial" w:cs="Arial"/>
          <w:sz w:val="19"/>
          <w:szCs w:val="19"/>
          <w:lang w:val="es-ES_tradnl"/>
        </w:rPr>
        <w:t>Simonelli</w:t>
      </w:r>
      <w:proofErr w:type="spellEnd"/>
      <w:r w:rsidRPr="00222236">
        <w:rPr>
          <w:rFonts w:ascii="Arial" w:hAnsi="Arial" w:cs="Arial"/>
          <w:sz w:val="19"/>
          <w:szCs w:val="19"/>
          <w:lang w:val="es-ES_tradnl"/>
        </w:rPr>
        <w:t xml:space="preserve">, F., … </w:t>
      </w:r>
      <w:proofErr w:type="spellStart"/>
      <w:r w:rsidRPr="00222236">
        <w:rPr>
          <w:rFonts w:ascii="Arial" w:hAnsi="Arial" w:cs="Arial"/>
          <w:sz w:val="19"/>
          <w:szCs w:val="19"/>
        </w:rPr>
        <w:t>Allikmets</w:t>
      </w:r>
      <w:proofErr w:type="spellEnd"/>
      <w:r w:rsidRPr="00222236">
        <w:rPr>
          <w:rFonts w:ascii="Arial" w:hAnsi="Arial" w:cs="Arial"/>
          <w:sz w:val="19"/>
          <w:szCs w:val="19"/>
        </w:rPr>
        <w:t xml:space="preserve">, R. (2014). Analysis of the ABCA4 genomic locus in Stargardt disease. Human Molecular Genetics, 23(25), 6797–6806. </w:t>
      </w:r>
      <w:proofErr w:type="spellStart"/>
      <w:r w:rsidRPr="00222236">
        <w:rPr>
          <w:rFonts w:ascii="Arial" w:hAnsi="Arial" w:cs="Arial"/>
          <w:sz w:val="19"/>
          <w:szCs w:val="19"/>
        </w:rPr>
        <w:t>doi</w:t>
      </w:r>
      <w:proofErr w:type="spellEnd"/>
      <w:r w:rsidRPr="00222236">
        <w:rPr>
          <w:rFonts w:ascii="Arial" w:hAnsi="Arial" w:cs="Arial"/>
          <w:sz w:val="19"/>
          <w:szCs w:val="19"/>
        </w:rPr>
        <w:t>: 10.1093/</w:t>
      </w:r>
      <w:proofErr w:type="spellStart"/>
      <w:r w:rsidRPr="00222236">
        <w:rPr>
          <w:rFonts w:ascii="Arial" w:hAnsi="Arial" w:cs="Arial"/>
          <w:sz w:val="19"/>
          <w:szCs w:val="19"/>
        </w:rPr>
        <w:t>hmg</w:t>
      </w:r>
      <w:proofErr w:type="spellEnd"/>
      <w:r w:rsidRPr="00222236">
        <w:rPr>
          <w:rFonts w:ascii="Arial" w:hAnsi="Arial" w:cs="Arial"/>
          <w:sz w:val="19"/>
          <w:szCs w:val="19"/>
        </w:rPr>
        <w:t>/ddu396</w:t>
      </w:r>
    </w:p>
    <w:p w14:paraId="3B21D9DC" w14:textId="261AE3B5" w:rsidR="00493376" w:rsidRDefault="00493376" w:rsidP="00FF429B">
      <w:pPr>
        <w:spacing w:after="0" w:line="240" w:lineRule="auto"/>
        <w:rPr>
          <w:rFonts w:ascii="Arial" w:hAnsi="Arial" w:cs="Arial"/>
          <w:sz w:val="19"/>
          <w:szCs w:val="19"/>
        </w:rPr>
      </w:pPr>
      <w:r>
        <w:rPr>
          <w:rFonts w:ascii="Arial" w:hAnsi="Arial" w:cs="Arial"/>
          <w:sz w:val="19"/>
          <w:szCs w:val="19"/>
        </w:rPr>
        <w:t xml:space="preserve">4. </w:t>
      </w:r>
      <w:proofErr w:type="spellStart"/>
      <w:r w:rsidRPr="00493376">
        <w:rPr>
          <w:rFonts w:ascii="Arial" w:hAnsi="Arial" w:cs="Arial"/>
          <w:sz w:val="19"/>
          <w:szCs w:val="19"/>
        </w:rPr>
        <w:t>Molday</w:t>
      </w:r>
      <w:proofErr w:type="spellEnd"/>
      <w:r w:rsidRPr="00493376">
        <w:rPr>
          <w:rFonts w:ascii="Arial" w:hAnsi="Arial" w:cs="Arial"/>
          <w:sz w:val="19"/>
          <w:szCs w:val="19"/>
        </w:rPr>
        <w:t xml:space="preserve">, R. S. (2015). Insights into the Molecular Properties of ABCA4 and Its Role in the Visual Cycle and Stargardt Disease. Progress in Molecular Biology and Translational Science Molecular Biology of Eye Disease, 415–431. </w:t>
      </w:r>
      <w:proofErr w:type="spellStart"/>
      <w:r w:rsidRPr="00493376">
        <w:rPr>
          <w:rFonts w:ascii="Arial" w:hAnsi="Arial" w:cs="Arial"/>
          <w:sz w:val="19"/>
          <w:szCs w:val="19"/>
        </w:rPr>
        <w:t>doi</w:t>
      </w:r>
      <w:proofErr w:type="spellEnd"/>
      <w:r w:rsidRPr="00493376">
        <w:rPr>
          <w:rFonts w:ascii="Arial" w:hAnsi="Arial" w:cs="Arial"/>
          <w:sz w:val="19"/>
          <w:szCs w:val="19"/>
        </w:rPr>
        <w:t>: 10.1016/bs.pmbts.2015.06.008</w:t>
      </w:r>
    </w:p>
    <w:p w14:paraId="709E5205" w14:textId="1E536356" w:rsidR="00055D1A" w:rsidRDefault="00055D1A" w:rsidP="00FF429B">
      <w:pPr>
        <w:spacing w:after="0" w:line="240" w:lineRule="auto"/>
        <w:rPr>
          <w:rFonts w:ascii="Arial" w:hAnsi="Arial" w:cs="Arial"/>
          <w:sz w:val="19"/>
          <w:szCs w:val="19"/>
        </w:rPr>
      </w:pPr>
      <w:r>
        <w:rPr>
          <w:rFonts w:ascii="Arial" w:hAnsi="Arial" w:cs="Arial"/>
          <w:sz w:val="19"/>
          <w:szCs w:val="19"/>
        </w:rPr>
        <w:t xml:space="preserve">5. </w:t>
      </w:r>
      <w:r w:rsidR="00DC61D3" w:rsidRPr="00DC61D3">
        <w:rPr>
          <w:rFonts w:ascii="Arial" w:hAnsi="Arial" w:cs="Arial"/>
          <w:sz w:val="19"/>
          <w:szCs w:val="19"/>
        </w:rPr>
        <w:t xml:space="preserve">Auer, T. O., </w:t>
      </w:r>
      <w:proofErr w:type="spellStart"/>
      <w:r w:rsidR="00DC61D3" w:rsidRPr="00DC61D3">
        <w:rPr>
          <w:rFonts w:ascii="Arial" w:hAnsi="Arial" w:cs="Arial"/>
          <w:sz w:val="19"/>
          <w:szCs w:val="19"/>
        </w:rPr>
        <w:t>Duroure</w:t>
      </w:r>
      <w:proofErr w:type="spellEnd"/>
      <w:r w:rsidR="00DC61D3" w:rsidRPr="00DC61D3">
        <w:rPr>
          <w:rFonts w:ascii="Arial" w:hAnsi="Arial" w:cs="Arial"/>
          <w:sz w:val="19"/>
          <w:szCs w:val="19"/>
        </w:rPr>
        <w:t xml:space="preserve">, K., Cian, A. D., </w:t>
      </w:r>
      <w:proofErr w:type="spellStart"/>
      <w:r w:rsidR="00DC61D3" w:rsidRPr="00DC61D3">
        <w:rPr>
          <w:rFonts w:ascii="Arial" w:hAnsi="Arial" w:cs="Arial"/>
          <w:sz w:val="19"/>
          <w:szCs w:val="19"/>
        </w:rPr>
        <w:t>Concordet</w:t>
      </w:r>
      <w:proofErr w:type="spellEnd"/>
      <w:r w:rsidR="00DC61D3" w:rsidRPr="00DC61D3">
        <w:rPr>
          <w:rFonts w:ascii="Arial" w:hAnsi="Arial" w:cs="Arial"/>
          <w:sz w:val="19"/>
          <w:szCs w:val="19"/>
        </w:rPr>
        <w:t xml:space="preserve">, J.-P., &amp; Bene, F. D. (2013). Highly efficient CRISPR/Cas9-mediated knock-in in zebrafish by homology-independent DNA repair. Genome Research, 24(1), 142–153. </w:t>
      </w:r>
      <w:proofErr w:type="spellStart"/>
      <w:r w:rsidR="00DC61D3" w:rsidRPr="00DC61D3">
        <w:rPr>
          <w:rFonts w:ascii="Arial" w:hAnsi="Arial" w:cs="Arial"/>
          <w:sz w:val="19"/>
          <w:szCs w:val="19"/>
        </w:rPr>
        <w:t>doi</w:t>
      </w:r>
      <w:proofErr w:type="spellEnd"/>
      <w:r w:rsidR="00DC61D3" w:rsidRPr="00DC61D3">
        <w:rPr>
          <w:rFonts w:ascii="Arial" w:hAnsi="Arial" w:cs="Arial"/>
          <w:sz w:val="19"/>
          <w:szCs w:val="19"/>
        </w:rPr>
        <w:t>: 10.1101/gr.161638.113</w:t>
      </w:r>
    </w:p>
    <w:p w14:paraId="0016972A" w14:textId="2C14B8E8" w:rsidR="00DC61D3" w:rsidRDefault="00DC61D3" w:rsidP="00FF429B">
      <w:pPr>
        <w:spacing w:after="0" w:line="240" w:lineRule="auto"/>
        <w:rPr>
          <w:rFonts w:ascii="Arial" w:hAnsi="Arial" w:cs="Arial"/>
          <w:sz w:val="19"/>
          <w:szCs w:val="19"/>
        </w:rPr>
      </w:pPr>
      <w:r>
        <w:rPr>
          <w:rFonts w:ascii="Arial" w:hAnsi="Arial" w:cs="Arial"/>
          <w:sz w:val="19"/>
          <w:szCs w:val="19"/>
        </w:rPr>
        <w:t xml:space="preserve">6. </w:t>
      </w:r>
      <w:proofErr w:type="spellStart"/>
      <w:r w:rsidRPr="00DC61D3">
        <w:rPr>
          <w:rFonts w:ascii="Arial" w:hAnsi="Arial" w:cs="Arial"/>
          <w:sz w:val="19"/>
          <w:szCs w:val="19"/>
        </w:rPr>
        <w:t>Fadool</w:t>
      </w:r>
      <w:proofErr w:type="spellEnd"/>
      <w:r w:rsidRPr="00DC61D3">
        <w:rPr>
          <w:rFonts w:ascii="Arial" w:hAnsi="Arial" w:cs="Arial"/>
          <w:sz w:val="19"/>
          <w:szCs w:val="19"/>
        </w:rPr>
        <w:t xml:space="preserve">, J. M., &amp; Dowling, J. E. (n.d.). Zebrafish models of retinal development and disease. Retinal Development, 342–370. </w:t>
      </w:r>
      <w:proofErr w:type="spellStart"/>
      <w:r w:rsidRPr="00DC61D3">
        <w:rPr>
          <w:rFonts w:ascii="Arial" w:hAnsi="Arial" w:cs="Arial"/>
          <w:sz w:val="19"/>
          <w:szCs w:val="19"/>
        </w:rPr>
        <w:t>doi</w:t>
      </w:r>
      <w:proofErr w:type="spellEnd"/>
      <w:r w:rsidRPr="00DC61D3">
        <w:rPr>
          <w:rFonts w:ascii="Arial" w:hAnsi="Arial" w:cs="Arial"/>
          <w:sz w:val="19"/>
          <w:szCs w:val="19"/>
        </w:rPr>
        <w:t>: 10.1017/cbo9780511541629.019</w:t>
      </w:r>
    </w:p>
    <w:p w14:paraId="38091700" w14:textId="77777777" w:rsidR="00660486" w:rsidRPr="00660486" w:rsidRDefault="00660486" w:rsidP="00660486">
      <w:pPr>
        <w:spacing w:after="0" w:line="240" w:lineRule="auto"/>
        <w:rPr>
          <w:rFonts w:ascii="Arial" w:hAnsi="Arial" w:cs="Arial"/>
          <w:sz w:val="19"/>
          <w:szCs w:val="19"/>
        </w:rPr>
      </w:pPr>
      <w:r>
        <w:rPr>
          <w:rFonts w:ascii="Arial" w:hAnsi="Arial" w:cs="Arial"/>
          <w:sz w:val="19"/>
          <w:szCs w:val="19"/>
        </w:rPr>
        <w:t xml:space="preserve">7. </w:t>
      </w:r>
      <w:r w:rsidRPr="00660486">
        <w:rPr>
          <w:rFonts w:ascii="Arial" w:hAnsi="Arial" w:cs="Arial"/>
          <w:sz w:val="19"/>
          <w:szCs w:val="19"/>
        </w:rPr>
        <w:t xml:space="preserve">Bryant, L., </w:t>
      </w:r>
      <w:proofErr w:type="spellStart"/>
      <w:r w:rsidRPr="00660486">
        <w:rPr>
          <w:rFonts w:ascii="Arial" w:hAnsi="Arial" w:cs="Arial"/>
          <w:sz w:val="19"/>
          <w:szCs w:val="19"/>
        </w:rPr>
        <w:t>Lozynska</w:t>
      </w:r>
      <w:proofErr w:type="spellEnd"/>
      <w:r w:rsidRPr="00660486">
        <w:rPr>
          <w:rFonts w:ascii="Arial" w:hAnsi="Arial" w:cs="Arial"/>
          <w:sz w:val="19"/>
          <w:szCs w:val="19"/>
        </w:rPr>
        <w:t xml:space="preserve">, O., Maguire, A., Aleman, T., &amp; Bennett, J. (2017). Prescreening whole exome sequencing results from patients with retinal degeneration for variants in genes associated with retinal degeneration. </w:t>
      </w:r>
      <w:r w:rsidRPr="00660486">
        <w:rPr>
          <w:rFonts w:ascii="Arial" w:hAnsi="Arial" w:cs="Arial"/>
          <w:i/>
          <w:iCs/>
          <w:sz w:val="19"/>
          <w:szCs w:val="19"/>
        </w:rPr>
        <w:t>Clinical Ophthalmology,</w:t>
      </w:r>
      <w:r w:rsidRPr="00660486">
        <w:rPr>
          <w:rFonts w:ascii="Arial" w:hAnsi="Arial" w:cs="Arial"/>
          <w:sz w:val="19"/>
          <w:szCs w:val="19"/>
        </w:rPr>
        <w:t xml:space="preserve"> </w:t>
      </w:r>
      <w:r w:rsidRPr="00660486">
        <w:rPr>
          <w:rFonts w:ascii="Arial" w:hAnsi="Arial" w:cs="Arial"/>
          <w:i/>
          <w:iCs/>
          <w:sz w:val="19"/>
          <w:szCs w:val="19"/>
        </w:rPr>
        <w:t>Volume 12</w:t>
      </w:r>
      <w:r w:rsidRPr="00660486">
        <w:rPr>
          <w:rFonts w:ascii="Arial" w:hAnsi="Arial" w:cs="Arial"/>
          <w:sz w:val="19"/>
          <w:szCs w:val="19"/>
        </w:rPr>
        <w:t>, 49-63. doi:10.2147/</w:t>
      </w:r>
      <w:proofErr w:type="gramStart"/>
      <w:r w:rsidRPr="00660486">
        <w:rPr>
          <w:rFonts w:ascii="Arial" w:hAnsi="Arial" w:cs="Arial"/>
          <w:sz w:val="19"/>
          <w:szCs w:val="19"/>
        </w:rPr>
        <w:t>opth.s</w:t>
      </w:r>
      <w:proofErr w:type="gramEnd"/>
      <w:r w:rsidRPr="00660486">
        <w:rPr>
          <w:rFonts w:ascii="Arial" w:hAnsi="Arial" w:cs="Arial"/>
          <w:sz w:val="19"/>
          <w:szCs w:val="19"/>
        </w:rPr>
        <w:t>147684</w:t>
      </w:r>
    </w:p>
    <w:p w14:paraId="32066A0F" w14:textId="4FC428C6" w:rsidR="00660486" w:rsidRPr="006D31A8" w:rsidRDefault="00660486" w:rsidP="00FF429B">
      <w:pPr>
        <w:spacing w:after="0" w:line="240" w:lineRule="auto"/>
        <w:rPr>
          <w:rFonts w:ascii="Arial" w:hAnsi="Arial" w:cs="Arial"/>
          <w:sz w:val="19"/>
          <w:szCs w:val="19"/>
        </w:rPr>
      </w:pPr>
    </w:p>
    <w:sectPr w:rsidR="00660486" w:rsidRPr="006D31A8" w:rsidSect="006D31A8">
      <w:head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14789" w14:textId="77777777" w:rsidR="0085648E" w:rsidRDefault="0085648E" w:rsidP="006D31A8">
      <w:pPr>
        <w:spacing w:after="0" w:line="240" w:lineRule="auto"/>
      </w:pPr>
      <w:r>
        <w:separator/>
      </w:r>
    </w:p>
  </w:endnote>
  <w:endnote w:type="continuationSeparator" w:id="0">
    <w:p w14:paraId="7E2EEF0F" w14:textId="77777777" w:rsidR="0085648E" w:rsidRDefault="0085648E" w:rsidP="006D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F53E" w14:textId="77777777" w:rsidR="0085648E" w:rsidRDefault="0085648E" w:rsidP="006D31A8">
      <w:pPr>
        <w:spacing w:after="0" w:line="240" w:lineRule="auto"/>
      </w:pPr>
      <w:r>
        <w:separator/>
      </w:r>
    </w:p>
  </w:footnote>
  <w:footnote w:type="continuationSeparator" w:id="0">
    <w:p w14:paraId="5135DE9D" w14:textId="77777777" w:rsidR="0085648E" w:rsidRDefault="0085648E" w:rsidP="006D3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3ABFE" w14:textId="68F9E4C5" w:rsidR="006D31A8" w:rsidRDefault="006D31A8">
    <w:pPr>
      <w:pStyle w:val="Header"/>
    </w:pPr>
    <w:r>
      <w:t>Timothy Biewer-Heisler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A8"/>
    <w:rsid w:val="00050A2B"/>
    <w:rsid w:val="00055D1A"/>
    <w:rsid w:val="000C11EA"/>
    <w:rsid w:val="00112354"/>
    <w:rsid w:val="00123118"/>
    <w:rsid w:val="0016481A"/>
    <w:rsid w:val="00174B5B"/>
    <w:rsid w:val="00182637"/>
    <w:rsid w:val="002051E2"/>
    <w:rsid w:val="00222236"/>
    <w:rsid w:val="00252A37"/>
    <w:rsid w:val="00254521"/>
    <w:rsid w:val="00325A83"/>
    <w:rsid w:val="0033285F"/>
    <w:rsid w:val="00394FD8"/>
    <w:rsid w:val="003C510A"/>
    <w:rsid w:val="003E465F"/>
    <w:rsid w:val="00400360"/>
    <w:rsid w:val="004117CA"/>
    <w:rsid w:val="00493376"/>
    <w:rsid w:val="00530BCC"/>
    <w:rsid w:val="00573485"/>
    <w:rsid w:val="00575273"/>
    <w:rsid w:val="005C3B15"/>
    <w:rsid w:val="005D2649"/>
    <w:rsid w:val="00660486"/>
    <w:rsid w:val="006D31A8"/>
    <w:rsid w:val="00752CA6"/>
    <w:rsid w:val="00776AC4"/>
    <w:rsid w:val="0085648E"/>
    <w:rsid w:val="009D6704"/>
    <w:rsid w:val="00A03A8E"/>
    <w:rsid w:val="00A106D2"/>
    <w:rsid w:val="00B83466"/>
    <w:rsid w:val="00CB0EF7"/>
    <w:rsid w:val="00CD11A2"/>
    <w:rsid w:val="00CF6025"/>
    <w:rsid w:val="00DC3ABB"/>
    <w:rsid w:val="00DC61D3"/>
    <w:rsid w:val="00DF7A89"/>
    <w:rsid w:val="00EC3145"/>
    <w:rsid w:val="00FF429B"/>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FAA2"/>
  <w15:chartTrackingRefBased/>
  <w15:docId w15:val="{1942780C-9096-4D95-AD3A-35E45CE9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1A8"/>
  </w:style>
  <w:style w:type="paragraph" w:styleId="Footer">
    <w:name w:val="footer"/>
    <w:basedOn w:val="Normal"/>
    <w:link w:val="FooterChar"/>
    <w:uiPriority w:val="99"/>
    <w:unhideWhenUsed/>
    <w:rsid w:val="006D3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A8"/>
  </w:style>
  <w:style w:type="paragraph" w:styleId="NormalWeb">
    <w:name w:val="Normal (Web)"/>
    <w:basedOn w:val="Normal"/>
    <w:uiPriority w:val="99"/>
    <w:semiHidden/>
    <w:unhideWhenUsed/>
    <w:rsid w:val="006604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264216">
      <w:bodyDiv w:val="1"/>
      <w:marLeft w:val="0"/>
      <w:marRight w:val="0"/>
      <w:marTop w:val="0"/>
      <w:marBottom w:val="0"/>
      <w:divBdr>
        <w:top w:val="none" w:sz="0" w:space="0" w:color="auto"/>
        <w:left w:val="none" w:sz="0" w:space="0" w:color="auto"/>
        <w:bottom w:val="none" w:sz="0" w:space="0" w:color="auto"/>
        <w:right w:val="none" w:sz="0" w:space="0" w:color="auto"/>
      </w:divBdr>
    </w:div>
    <w:div w:id="14435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Jay</dc:creator>
  <cp:keywords/>
  <dc:description/>
  <cp:lastModifiedBy>Timothy Biewer-Heisler</cp:lastModifiedBy>
  <cp:revision>6</cp:revision>
  <dcterms:created xsi:type="dcterms:W3CDTF">2020-04-15T15:38:00Z</dcterms:created>
  <dcterms:modified xsi:type="dcterms:W3CDTF">2020-04-15T21:22:00Z</dcterms:modified>
</cp:coreProperties>
</file>